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4" w:rsidRPr="00A479D0" w:rsidRDefault="002F3C17" w:rsidP="00A479D0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479D0">
        <w:rPr>
          <w:rFonts w:ascii="Times New Roman" w:eastAsia="Times New Roman" w:hAnsi="Times New Roman" w:cs="Times New Roman"/>
          <w:b/>
          <w:sz w:val="28"/>
          <w:szCs w:val="26"/>
        </w:rPr>
        <w:t>ASAN MEMORIAL COLLEGE OF ARTS AND SCIENCE</w:t>
      </w:r>
    </w:p>
    <w:p w:rsidR="00E85F24" w:rsidRPr="00A479D0" w:rsidRDefault="002F3C17" w:rsidP="00A479D0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A479D0">
        <w:rPr>
          <w:rFonts w:ascii="Times New Roman" w:eastAsia="Times New Roman" w:hAnsi="Times New Roman" w:cs="Times New Roman"/>
          <w:b/>
          <w:sz w:val="28"/>
          <w:szCs w:val="26"/>
        </w:rPr>
        <w:t>Velachery – Tambaram Road, Chennai 600 100.</w:t>
      </w:r>
      <w:proofErr w:type="gramEnd"/>
    </w:p>
    <w:p w:rsidR="00E85F24" w:rsidRPr="00A479D0" w:rsidRDefault="00956895" w:rsidP="00A479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A479D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BEST PRACTICE OF THE INSTITUTION</w:t>
      </w:r>
    </w:p>
    <w:tbl>
      <w:tblPr>
        <w:tblStyle w:val="MediumGrid3-Accent1"/>
        <w:tblW w:w="11483" w:type="dxa"/>
        <w:tblInd w:w="-885" w:type="dxa"/>
        <w:tblLook w:val="04A0"/>
      </w:tblPr>
      <w:tblGrid>
        <w:gridCol w:w="730"/>
        <w:gridCol w:w="371"/>
        <w:gridCol w:w="2869"/>
        <w:gridCol w:w="7513"/>
      </w:tblGrid>
      <w:tr w:rsidR="00E85F24" w:rsidRPr="00956895" w:rsidTr="00956895">
        <w:trPr>
          <w:cnfStyle w:val="100000000000"/>
        </w:trPr>
        <w:tc>
          <w:tcPr>
            <w:cnfStyle w:val="001000000000"/>
            <w:tcW w:w="730" w:type="dxa"/>
            <w:vAlign w:val="center"/>
          </w:tcPr>
          <w:p w:rsidR="00E85F24" w:rsidRPr="00956895" w:rsidRDefault="002F3C17" w:rsidP="00956895">
            <w:pPr>
              <w:spacing w:after="0" w:afterAutospacing="0"/>
              <w:jc w:val="center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Sl.</w:t>
            </w:r>
          </w:p>
          <w:p w:rsidR="00E85F24" w:rsidRPr="00956895" w:rsidRDefault="002F3C17" w:rsidP="00956895">
            <w:pPr>
              <w:spacing w:after="0" w:afterAutospacing="0"/>
              <w:jc w:val="center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No.</w:t>
            </w:r>
          </w:p>
        </w:tc>
        <w:tc>
          <w:tcPr>
            <w:tcW w:w="3240" w:type="dxa"/>
            <w:gridSpan w:val="2"/>
            <w:vAlign w:val="center"/>
          </w:tcPr>
          <w:p w:rsidR="00E85F24" w:rsidRPr="00956895" w:rsidRDefault="002F3C17" w:rsidP="00956895">
            <w:pPr>
              <w:spacing w:after="0" w:afterAutospacing="0"/>
              <w:jc w:val="center"/>
              <w:cnfStyle w:val="100000000000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Particulars</w:t>
            </w:r>
          </w:p>
        </w:tc>
        <w:tc>
          <w:tcPr>
            <w:tcW w:w="7513" w:type="dxa"/>
            <w:vAlign w:val="center"/>
          </w:tcPr>
          <w:p w:rsidR="00E85F24" w:rsidRPr="00956895" w:rsidRDefault="002F3C17" w:rsidP="00956895">
            <w:pPr>
              <w:tabs>
                <w:tab w:val="center" w:pos="3783"/>
              </w:tabs>
              <w:spacing w:after="0" w:afterAutospacing="0"/>
              <w:jc w:val="center"/>
              <w:cnfStyle w:val="100000000000"/>
              <w:rPr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Details</w:t>
            </w:r>
          </w:p>
        </w:tc>
      </w:tr>
      <w:tr w:rsidR="00E85F24" w:rsidRPr="00D37C90" w:rsidTr="00956895">
        <w:trPr>
          <w:cnfStyle w:val="000000100000"/>
        </w:trPr>
        <w:tc>
          <w:tcPr>
            <w:cnfStyle w:val="001000000000"/>
            <w:tcW w:w="730" w:type="dxa"/>
          </w:tcPr>
          <w:p w:rsidR="00E85F24" w:rsidRPr="00D37C90" w:rsidRDefault="002F3C17" w:rsidP="00F95620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3240" w:type="dxa"/>
            <w:gridSpan w:val="2"/>
          </w:tcPr>
          <w:p w:rsidR="00E85F24" w:rsidRPr="00D37C90" w:rsidRDefault="002F3C17" w:rsidP="00F95620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TITLE OF THE PRACTICE</w:t>
            </w:r>
          </w:p>
        </w:tc>
        <w:tc>
          <w:tcPr>
            <w:tcW w:w="7513" w:type="dxa"/>
          </w:tcPr>
          <w:p w:rsidR="00E85F24" w:rsidRPr="00D37C90" w:rsidRDefault="002F3C17" w:rsidP="00F9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NATIONAL SERVICE SCHEME</w:t>
            </w:r>
          </w:p>
        </w:tc>
      </w:tr>
      <w:tr w:rsidR="00E85F24" w:rsidRPr="00D37C90" w:rsidTr="00956895">
        <w:trPr>
          <w:trHeight w:val="1898"/>
        </w:trPr>
        <w:tc>
          <w:tcPr>
            <w:cnfStyle w:val="001000000000"/>
            <w:tcW w:w="730" w:type="dxa"/>
          </w:tcPr>
          <w:p w:rsidR="00D37C90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2.</w:t>
            </w:r>
          </w:p>
          <w:p w:rsidR="00D37C90" w:rsidRPr="00D37C90" w:rsidRDefault="00D37C90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D37C90" w:rsidRDefault="00D37C90" w:rsidP="00D37C90">
            <w:pPr>
              <w:rPr>
                <w:sz w:val="26"/>
                <w:szCs w:val="26"/>
              </w:rPr>
            </w:pPr>
          </w:p>
          <w:p w:rsidR="00E85F24" w:rsidRPr="00D37C90" w:rsidRDefault="00E85F24" w:rsidP="00D37C90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2"/>
          </w:tcPr>
          <w:p w:rsidR="00E85F24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GOAL</w:t>
            </w:r>
          </w:p>
        </w:tc>
        <w:tc>
          <w:tcPr>
            <w:tcW w:w="7513" w:type="dxa"/>
          </w:tcPr>
          <w:p w:rsidR="00E85F24" w:rsidRPr="00A479D0" w:rsidRDefault="002F3C17" w:rsidP="00A479D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jc w:val="both"/>
              <w:cnfStyle w:val="000000000000"/>
              <w:rPr>
                <w:sz w:val="26"/>
                <w:szCs w:val="26"/>
              </w:rPr>
            </w:pPr>
            <w:r w:rsidRPr="00A479D0">
              <w:rPr>
                <w:sz w:val="26"/>
                <w:szCs w:val="26"/>
              </w:rPr>
              <w:t xml:space="preserve">NSS let the students to actively contribute their efforts by rendering services for the welfare of the community in parts and </w:t>
            </w:r>
            <w:r w:rsidR="004B76B9" w:rsidRPr="00A479D0">
              <w:rPr>
                <w:sz w:val="26"/>
                <w:szCs w:val="26"/>
              </w:rPr>
              <w:t>well-being</w:t>
            </w:r>
            <w:r w:rsidRPr="00A479D0">
              <w:rPr>
                <w:sz w:val="26"/>
                <w:szCs w:val="26"/>
              </w:rPr>
              <w:t xml:space="preserve"> of the nation as a whole.</w:t>
            </w:r>
          </w:p>
          <w:p w:rsidR="00E85F24" w:rsidRPr="00A479D0" w:rsidRDefault="002F3C17" w:rsidP="00A479D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A479D0">
              <w:rPr>
                <w:sz w:val="26"/>
                <w:szCs w:val="26"/>
              </w:rPr>
              <w:t>NSS helps to promote the unity and integrity of the nation by bringing together service minded young people from diverse geographical and socio cultural</w:t>
            </w:r>
            <w:r w:rsidRPr="00A479D0">
              <w:rPr>
                <w:b/>
                <w:bCs/>
                <w:sz w:val="26"/>
                <w:szCs w:val="26"/>
              </w:rPr>
              <w:t xml:space="preserve"> backgrounds.</w:t>
            </w:r>
          </w:p>
          <w:p w:rsidR="00E85F24" w:rsidRPr="00A479D0" w:rsidRDefault="002F3C17" w:rsidP="00A479D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A479D0">
              <w:rPr>
                <w:b/>
                <w:bCs/>
                <w:sz w:val="26"/>
                <w:szCs w:val="26"/>
              </w:rPr>
              <w:t>Development of the personality of students by improving their leadership qualities.</w:t>
            </w:r>
          </w:p>
        </w:tc>
      </w:tr>
      <w:tr w:rsidR="00E85F24" w:rsidRPr="00D37C90" w:rsidTr="00956895">
        <w:trPr>
          <w:cnfStyle w:val="000000100000"/>
        </w:trPr>
        <w:tc>
          <w:tcPr>
            <w:cnfStyle w:val="001000000000"/>
            <w:tcW w:w="730" w:type="dxa"/>
          </w:tcPr>
          <w:p w:rsidR="00E85F24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3240" w:type="dxa"/>
            <w:gridSpan w:val="2"/>
          </w:tcPr>
          <w:p w:rsidR="00E85F24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THE CONTEXT</w:t>
            </w:r>
          </w:p>
        </w:tc>
        <w:tc>
          <w:tcPr>
            <w:tcW w:w="7513" w:type="dxa"/>
          </w:tcPr>
          <w:p w:rsidR="00E85F24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NSS is the right platform, where the student-youth of the nation may get to involve with real life social activities, and thereby become responsible citizens of India.</w:t>
            </w:r>
          </w:p>
        </w:tc>
      </w:tr>
      <w:tr w:rsidR="00E85F24" w:rsidRPr="00D37C90" w:rsidTr="00956895">
        <w:trPr>
          <w:trHeight w:val="233"/>
        </w:trPr>
        <w:tc>
          <w:tcPr>
            <w:cnfStyle w:val="001000000000"/>
            <w:tcW w:w="730" w:type="dxa"/>
            <w:tcBorders>
              <w:bottom w:val="single" w:sz="8" w:space="0" w:color="FFFFFF" w:themeColor="background1"/>
            </w:tcBorders>
          </w:tcPr>
          <w:p w:rsidR="00E85F24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10753" w:type="dxa"/>
            <w:gridSpan w:val="3"/>
            <w:tcBorders>
              <w:bottom w:val="single" w:sz="8" w:space="0" w:color="FFFFFF" w:themeColor="background1"/>
            </w:tcBorders>
          </w:tcPr>
          <w:p w:rsidR="00E85F24" w:rsidRPr="00D37C90" w:rsidRDefault="002F3C17" w:rsidP="00956895">
            <w:pPr>
              <w:jc w:val="center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THE PRACTICE</w:t>
            </w:r>
          </w:p>
        </w:tc>
      </w:tr>
      <w:tr w:rsidR="00E85F24" w:rsidRPr="00D37C90" w:rsidTr="00956895">
        <w:trPr>
          <w:cnfStyle w:val="000000100000"/>
          <w:trHeight w:val="710"/>
        </w:trPr>
        <w:tc>
          <w:tcPr>
            <w:cnfStyle w:val="001000000000"/>
            <w:tcW w:w="11483" w:type="dxa"/>
            <w:gridSpan w:val="4"/>
            <w:shd w:val="clear" w:color="auto" w:fill="DBE5F1" w:themeFill="accent1" w:themeFillTint="33"/>
          </w:tcPr>
          <w:p w:rsidR="00E85F24" w:rsidRDefault="00E85F24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C40A7A" w:rsidRPr="00BE3F86" w:rsidRDefault="00122403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BE3F86">
              <w:rPr>
                <w:b w:val="0"/>
                <w:bCs w:val="0"/>
                <w:color w:val="auto"/>
                <w:sz w:val="26"/>
                <w:szCs w:val="26"/>
              </w:rPr>
              <w:t>AWARENESS PROGRAMS</w:t>
            </w:r>
          </w:p>
          <w:p w:rsidR="00122403" w:rsidRPr="00BE3F86" w:rsidRDefault="00D9015A" w:rsidP="00BE3F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</w:pPr>
            <w:r w:rsidRPr="00BE3F86">
              <w:rPr>
                <w:rFonts w:asciiTheme="minorHAnsi" w:hAnsiTheme="minorHAnsi" w:cs="Times New Roman"/>
                <w:bCs w:val="0"/>
                <w:color w:val="auto"/>
                <w:sz w:val="26"/>
                <w:szCs w:val="26"/>
              </w:rPr>
              <w:t>NSS observed the 32</w:t>
            </w:r>
            <w:r w:rsidRPr="00BE3F86">
              <w:rPr>
                <w:rFonts w:asciiTheme="minorHAnsi" w:hAnsiTheme="minorHAnsi" w:cs="Times New Roman"/>
                <w:bCs w:val="0"/>
                <w:color w:val="auto"/>
                <w:sz w:val="26"/>
                <w:szCs w:val="26"/>
                <w:vertAlign w:val="superscript"/>
              </w:rPr>
              <w:t>nd</w:t>
            </w:r>
            <w:r w:rsidRPr="00BE3F86">
              <w:rPr>
                <w:rFonts w:asciiTheme="minorHAnsi" w:hAnsiTheme="minorHAnsi" w:cs="Times New Roman"/>
                <w:bCs w:val="0"/>
                <w:color w:val="auto"/>
                <w:sz w:val="26"/>
                <w:szCs w:val="26"/>
              </w:rPr>
              <w:t xml:space="preserve"> National </w:t>
            </w: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Road Safety Awareness Month by</w:t>
            </w:r>
            <w:proofErr w:type="gramStart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  organizing</w:t>
            </w:r>
            <w:proofErr w:type="gramEnd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 a RALLY AND HUMAN CHAIN </w:t>
            </w:r>
            <w:r w:rsidR="007A196E"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on 17.02.2021, to create </w:t>
            </w: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road safety awareness and </w:t>
            </w:r>
            <w:r w:rsidR="007A196E"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to highlight the </w:t>
            </w: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importance of wearing</w:t>
            </w:r>
            <w:r w:rsidR="007A196E"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 helmets</w:t>
            </w: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.</w:t>
            </w:r>
          </w:p>
          <w:p w:rsidR="007A196E" w:rsidRPr="00BE3F86" w:rsidRDefault="007A196E" w:rsidP="00BE3F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</w:pP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The NSS Volunteers and program officers have participated in a one day Education Awareness Program and Slum Cleaning Program on 28.02.2021 at </w:t>
            </w:r>
            <w:proofErr w:type="spellStart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Perumbakkam</w:t>
            </w:r>
            <w:proofErr w:type="spellEnd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, organised by NSS Cell of University of Madras and </w:t>
            </w:r>
            <w:proofErr w:type="spellStart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Annai</w:t>
            </w:r>
            <w:proofErr w:type="spellEnd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 Night School, </w:t>
            </w:r>
            <w:proofErr w:type="spellStart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Perumbakkam</w:t>
            </w:r>
            <w:proofErr w:type="spellEnd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. </w:t>
            </w:r>
          </w:p>
          <w:p w:rsidR="007A196E" w:rsidRPr="00BE3F86" w:rsidRDefault="007A196E" w:rsidP="00BE3F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</w:pP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 xml:space="preserve">To create awareness on water management among college students, speech and drawing competitions were organised on the topic ‘Catch the Rain’ on 16.03.2021 in association with Nehru </w:t>
            </w:r>
            <w:proofErr w:type="spellStart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Yogendra</w:t>
            </w:r>
            <w:proofErr w:type="spellEnd"/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.</w:t>
            </w:r>
          </w:p>
          <w:p w:rsidR="00DD2194" w:rsidRPr="00BE3F86" w:rsidRDefault="00DD2194" w:rsidP="00BE3F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</w:pPr>
            <w:r w:rsidRPr="00BE3F86">
              <w:rPr>
                <w:rFonts w:asciiTheme="minorHAnsi" w:eastAsia="Times New Roman" w:hAnsiTheme="minorHAnsi" w:cs="Times New Roman"/>
                <w:color w:val="000000" w:themeColor="text1"/>
                <w:sz w:val="26"/>
                <w:szCs w:val="26"/>
                <w:lang w:eastAsia="en-IN"/>
              </w:rPr>
              <w:t>Fire safety awareness program for college students was organised on 19.03.2021 in the college premises in association with Fire and Rescue Services, Government of Tamilnadu.</w:t>
            </w:r>
          </w:p>
          <w:p w:rsidR="007A196E" w:rsidRPr="00BE3F86" w:rsidRDefault="007A196E" w:rsidP="00D9015A">
            <w:pPr>
              <w:jc w:val="both"/>
              <w:rPr>
                <w:rFonts w:asciiTheme="minorHAnsi" w:hAnsiTheme="minorHAnsi" w:cs="Times New Roman"/>
                <w:b w:val="0"/>
                <w:bCs w:val="0"/>
                <w:color w:val="auto"/>
                <w:sz w:val="26"/>
                <w:szCs w:val="26"/>
              </w:rPr>
            </w:pPr>
          </w:p>
          <w:p w:rsidR="00122403" w:rsidRPr="00BE3F86" w:rsidRDefault="00122403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BE3F86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CELEBRATION</w:t>
            </w:r>
            <w:r w:rsidR="00DD2194" w:rsidRPr="00BE3F86">
              <w:rPr>
                <w:b w:val="0"/>
                <w:bCs w:val="0"/>
                <w:color w:val="auto"/>
                <w:sz w:val="26"/>
                <w:szCs w:val="26"/>
              </w:rPr>
              <w:t>S</w:t>
            </w:r>
          </w:p>
          <w:p w:rsidR="00122403" w:rsidRPr="00BE3F86" w:rsidRDefault="00DD2194" w:rsidP="00BE3F8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E3F86">
              <w:rPr>
                <w:color w:val="000000" w:themeColor="text1"/>
                <w:sz w:val="26"/>
                <w:szCs w:val="26"/>
              </w:rPr>
              <w:t xml:space="preserve">National Unity Day was observed on </w:t>
            </w:r>
            <w:r w:rsidR="00850DE5" w:rsidRPr="00BE3F86">
              <w:rPr>
                <w:color w:val="000000" w:themeColor="text1"/>
                <w:sz w:val="26"/>
                <w:szCs w:val="26"/>
              </w:rPr>
              <w:t>31</w:t>
            </w:r>
            <w:r w:rsidR="00E94FA6" w:rsidRPr="00BE3F86">
              <w:rPr>
                <w:color w:val="000000" w:themeColor="text1"/>
                <w:sz w:val="26"/>
                <w:szCs w:val="26"/>
              </w:rPr>
              <w:t>.10.</w:t>
            </w:r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2020 to mark the birth anniversary of Bharat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Ratna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Sardar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Vallbai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 Patel – the Iron Man of India.  A massive plantation drive was organised by planting 10,000 saplings in the nearby areas which includes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Medavakkam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Pallikarani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Perumbakkam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 xml:space="preserve"> and </w:t>
            </w:r>
            <w:proofErr w:type="spellStart"/>
            <w:r w:rsidR="00850DE5" w:rsidRPr="00BE3F86">
              <w:rPr>
                <w:color w:val="000000" w:themeColor="text1"/>
                <w:sz w:val="26"/>
                <w:szCs w:val="26"/>
              </w:rPr>
              <w:t>Citalapakkam</w:t>
            </w:r>
            <w:proofErr w:type="spellEnd"/>
            <w:r w:rsidR="00850DE5" w:rsidRPr="00BE3F86">
              <w:rPr>
                <w:color w:val="000000" w:themeColor="text1"/>
                <w:sz w:val="26"/>
                <w:szCs w:val="26"/>
              </w:rPr>
              <w:t>.</w:t>
            </w:r>
          </w:p>
          <w:p w:rsidR="00850DE5" w:rsidRPr="00BE3F86" w:rsidRDefault="00E94FA6" w:rsidP="00BE3F86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E3F86">
              <w:rPr>
                <w:color w:val="000000" w:themeColor="text1"/>
                <w:sz w:val="26"/>
                <w:szCs w:val="26"/>
              </w:rPr>
              <w:t xml:space="preserve">International Day of Forest was celebrated on 21.03.2021 jointly with the Tamilnadu Forest Department.  The NSS volunteers planted saplings in the </w:t>
            </w:r>
            <w:proofErr w:type="spellStart"/>
            <w:r w:rsidRPr="00BE3F86">
              <w:rPr>
                <w:color w:val="000000" w:themeColor="text1"/>
                <w:sz w:val="26"/>
                <w:szCs w:val="26"/>
              </w:rPr>
              <w:t>Nanmangalam</w:t>
            </w:r>
            <w:proofErr w:type="spellEnd"/>
            <w:r w:rsidRPr="00BE3F86">
              <w:rPr>
                <w:color w:val="000000" w:themeColor="text1"/>
                <w:sz w:val="26"/>
                <w:szCs w:val="26"/>
              </w:rPr>
              <w:t xml:space="preserve"> forest region.</w:t>
            </w:r>
          </w:p>
          <w:p w:rsidR="00122403" w:rsidRPr="00BE3F86" w:rsidRDefault="00122403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122403" w:rsidRPr="00BE3F86" w:rsidRDefault="00122403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BE3F86">
              <w:rPr>
                <w:b w:val="0"/>
                <w:bCs w:val="0"/>
                <w:color w:val="auto"/>
                <w:sz w:val="26"/>
                <w:szCs w:val="26"/>
              </w:rPr>
              <w:t>MEDICAL CAMP</w:t>
            </w:r>
          </w:p>
          <w:p w:rsidR="00C40A7A" w:rsidRPr="00BE3F86" w:rsidRDefault="00E94FA6" w:rsidP="00BE3F86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BE3F86">
              <w:rPr>
                <w:color w:val="000000" w:themeColor="text1"/>
                <w:sz w:val="26"/>
                <w:szCs w:val="26"/>
              </w:rPr>
              <w:t xml:space="preserve">One Day Free Medical Camp was organised for the people of </w:t>
            </w:r>
            <w:proofErr w:type="spellStart"/>
            <w:r w:rsidRPr="00BE3F86">
              <w:rPr>
                <w:color w:val="000000" w:themeColor="text1"/>
                <w:sz w:val="26"/>
                <w:szCs w:val="26"/>
              </w:rPr>
              <w:t>Medavakkam</w:t>
            </w:r>
            <w:proofErr w:type="spellEnd"/>
            <w:r w:rsidRPr="00BE3F86">
              <w:rPr>
                <w:color w:val="000000" w:themeColor="text1"/>
                <w:sz w:val="26"/>
                <w:szCs w:val="26"/>
              </w:rPr>
              <w:t xml:space="preserve"> and nearby areas on 08.03.2021 to mark the International Women’s Day.  Supreme Lions Club, </w:t>
            </w:r>
            <w:proofErr w:type="spellStart"/>
            <w:r w:rsidRPr="00BE3F86">
              <w:rPr>
                <w:color w:val="000000" w:themeColor="text1"/>
                <w:sz w:val="26"/>
                <w:szCs w:val="26"/>
              </w:rPr>
              <w:t>Mugavari</w:t>
            </w:r>
            <w:proofErr w:type="spellEnd"/>
            <w:r w:rsidRPr="00BE3F86">
              <w:rPr>
                <w:color w:val="000000" w:themeColor="text1"/>
                <w:sz w:val="26"/>
                <w:szCs w:val="26"/>
              </w:rPr>
              <w:t xml:space="preserve"> Eye Hospital and S.M. </w:t>
            </w:r>
            <w:proofErr w:type="spellStart"/>
            <w:r w:rsidRPr="00BE3F86">
              <w:rPr>
                <w:color w:val="000000" w:themeColor="text1"/>
                <w:sz w:val="26"/>
                <w:szCs w:val="26"/>
              </w:rPr>
              <w:t>Ayush</w:t>
            </w:r>
            <w:proofErr w:type="spellEnd"/>
            <w:r w:rsidRPr="00BE3F86">
              <w:rPr>
                <w:color w:val="000000" w:themeColor="text1"/>
                <w:sz w:val="26"/>
                <w:szCs w:val="26"/>
              </w:rPr>
              <w:t xml:space="preserve"> Speciality Medical Centre</w:t>
            </w:r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Medavakkam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were associated with the camp.  The camp includes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Siddha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medicine session also.  Free spectacles,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siddha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medicines and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kabasurakudineer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power packets were distributed to the public.  Around 1250 residents of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Medavakkam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and </w:t>
            </w:r>
            <w:proofErr w:type="spellStart"/>
            <w:r w:rsidR="00BE3F86" w:rsidRPr="00BE3F86">
              <w:rPr>
                <w:color w:val="000000" w:themeColor="text1"/>
                <w:sz w:val="26"/>
                <w:szCs w:val="26"/>
              </w:rPr>
              <w:t>Pallikaranai</w:t>
            </w:r>
            <w:proofErr w:type="spellEnd"/>
            <w:r w:rsidR="00BE3F86" w:rsidRPr="00BE3F86">
              <w:rPr>
                <w:color w:val="000000" w:themeColor="text1"/>
                <w:sz w:val="26"/>
                <w:szCs w:val="26"/>
              </w:rPr>
              <w:t xml:space="preserve"> area were benefitted by the medical camp.</w:t>
            </w:r>
          </w:p>
          <w:p w:rsidR="00C40A7A" w:rsidRPr="00D37C90" w:rsidRDefault="00C40A7A" w:rsidP="00F95620">
            <w:pPr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E85F24" w:rsidRPr="00D37C90" w:rsidTr="00956895">
        <w:trPr>
          <w:trHeight w:val="1475"/>
        </w:trPr>
        <w:tc>
          <w:tcPr>
            <w:cnfStyle w:val="001000000000"/>
            <w:tcW w:w="1101" w:type="dxa"/>
            <w:gridSpan w:val="2"/>
          </w:tcPr>
          <w:p w:rsidR="00E85F24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69" w:type="dxa"/>
          </w:tcPr>
          <w:p w:rsidR="00E85F24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Evidence of Success</w:t>
            </w:r>
          </w:p>
        </w:tc>
        <w:tc>
          <w:tcPr>
            <w:tcW w:w="7513" w:type="dxa"/>
          </w:tcPr>
          <w:p w:rsidR="00C40A7A" w:rsidRPr="00D37C90" w:rsidRDefault="00BE3F86" w:rsidP="00F9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The NSS volunteers enthusiastically participated in all the events.  The grand </w:t>
            </w:r>
            <w:proofErr w:type="gramStart"/>
            <w:r>
              <w:rPr>
                <w:b/>
                <w:bCs/>
                <w:sz w:val="26"/>
                <w:szCs w:val="26"/>
              </w:rPr>
              <w:t>success of all the events are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the evidence for their wholehearted contribution.  </w:t>
            </w:r>
          </w:p>
        </w:tc>
      </w:tr>
      <w:tr w:rsidR="00E85F24" w:rsidRPr="00D37C90" w:rsidTr="00956895">
        <w:trPr>
          <w:cnfStyle w:val="000000100000"/>
        </w:trPr>
        <w:tc>
          <w:tcPr>
            <w:cnfStyle w:val="001000000000"/>
            <w:tcW w:w="1101" w:type="dxa"/>
            <w:gridSpan w:val="2"/>
          </w:tcPr>
          <w:p w:rsidR="00E85F24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2869" w:type="dxa"/>
          </w:tcPr>
          <w:p w:rsidR="00E85F24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Problems Encountered and Resources Required</w:t>
            </w:r>
          </w:p>
        </w:tc>
        <w:tc>
          <w:tcPr>
            <w:tcW w:w="7513" w:type="dxa"/>
          </w:tcPr>
          <w:p w:rsidR="00BE3F86" w:rsidRPr="00D37C90" w:rsidRDefault="00BE3F86" w:rsidP="00F95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Due to the </w:t>
            </w:r>
            <w:proofErr w:type="spellStart"/>
            <w:r>
              <w:rPr>
                <w:b/>
                <w:bCs/>
                <w:sz w:val="26"/>
                <w:szCs w:val="26"/>
              </w:rPr>
              <w:t>Covid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pandemic restrictions imposed unable to cover large number of people affected. Also it restricted the volunteers in taking part physically.</w:t>
            </w:r>
          </w:p>
        </w:tc>
      </w:tr>
      <w:tr w:rsidR="002F3C17" w:rsidRPr="00D37C90" w:rsidTr="00956895">
        <w:tc>
          <w:tcPr>
            <w:cnfStyle w:val="001000000000"/>
            <w:tcW w:w="1101" w:type="dxa"/>
            <w:gridSpan w:val="2"/>
            <w:vMerge w:val="restart"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2869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Contact Details</w:t>
            </w:r>
          </w:p>
        </w:tc>
        <w:tc>
          <w:tcPr>
            <w:tcW w:w="7513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</w:p>
        </w:tc>
      </w:tr>
      <w:tr w:rsidR="002F3C17" w:rsidRPr="00D37C90" w:rsidTr="00956895">
        <w:trPr>
          <w:cnfStyle w:val="000000100000"/>
        </w:trPr>
        <w:tc>
          <w:tcPr>
            <w:cnfStyle w:val="001000000000"/>
            <w:tcW w:w="1101" w:type="dxa"/>
            <w:gridSpan w:val="2"/>
            <w:vMerge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869" w:type="dxa"/>
          </w:tcPr>
          <w:p w:rsidR="002F3C17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Name of the Principal:</w:t>
            </w:r>
          </w:p>
        </w:tc>
        <w:tc>
          <w:tcPr>
            <w:tcW w:w="7513" w:type="dxa"/>
          </w:tcPr>
          <w:p w:rsidR="002F3C17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Dr. S. Ramanathan</w:t>
            </w:r>
          </w:p>
        </w:tc>
      </w:tr>
      <w:tr w:rsidR="002F3C17" w:rsidRPr="00D37C90" w:rsidTr="00956895">
        <w:tc>
          <w:tcPr>
            <w:cnfStyle w:val="001000000000"/>
            <w:tcW w:w="1101" w:type="dxa"/>
            <w:gridSpan w:val="2"/>
            <w:vMerge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869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Name of the Institution:</w:t>
            </w:r>
          </w:p>
        </w:tc>
        <w:tc>
          <w:tcPr>
            <w:tcW w:w="7513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Asan Memorial College of Arts &amp; Science</w:t>
            </w:r>
          </w:p>
        </w:tc>
      </w:tr>
      <w:tr w:rsidR="002F3C17" w:rsidRPr="00D37C90" w:rsidTr="00956895">
        <w:trPr>
          <w:cnfStyle w:val="000000100000"/>
        </w:trPr>
        <w:tc>
          <w:tcPr>
            <w:cnfStyle w:val="001000000000"/>
            <w:tcW w:w="1101" w:type="dxa"/>
            <w:gridSpan w:val="2"/>
            <w:vMerge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869" w:type="dxa"/>
          </w:tcPr>
          <w:p w:rsidR="002F3C17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City &amp; Pin Code:</w:t>
            </w:r>
          </w:p>
        </w:tc>
        <w:tc>
          <w:tcPr>
            <w:tcW w:w="7513" w:type="dxa"/>
          </w:tcPr>
          <w:p w:rsidR="002F3C17" w:rsidRPr="00D37C90" w:rsidRDefault="002F3C17" w:rsidP="00D37C90">
            <w:pPr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Chennai, 600 100</w:t>
            </w:r>
          </w:p>
        </w:tc>
      </w:tr>
      <w:tr w:rsidR="002F3C17" w:rsidRPr="00D37C90" w:rsidTr="00956895">
        <w:tc>
          <w:tcPr>
            <w:cnfStyle w:val="001000000000"/>
            <w:tcW w:w="1101" w:type="dxa"/>
            <w:gridSpan w:val="2"/>
            <w:vMerge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869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Accredited Status:</w:t>
            </w:r>
          </w:p>
        </w:tc>
        <w:tc>
          <w:tcPr>
            <w:tcW w:w="7513" w:type="dxa"/>
          </w:tcPr>
          <w:p w:rsidR="002F3C17" w:rsidRPr="00D37C90" w:rsidRDefault="002F3C17" w:rsidP="00D37C90">
            <w:pPr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‘B’ Grade</w:t>
            </w:r>
          </w:p>
        </w:tc>
      </w:tr>
      <w:tr w:rsidR="002F3C17" w:rsidRPr="00D37C90" w:rsidTr="00956895">
        <w:trPr>
          <w:cnfStyle w:val="000000100000"/>
        </w:trPr>
        <w:tc>
          <w:tcPr>
            <w:cnfStyle w:val="001000000000"/>
            <w:tcW w:w="1101" w:type="dxa"/>
            <w:gridSpan w:val="2"/>
            <w:vMerge/>
          </w:tcPr>
          <w:p w:rsidR="002F3C17" w:rsidRPr="00D37C90" w:rsidRDefault="002F3C17" w:rsidP="00D37C90">
            <w:pPr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869" w:type="dxa"/>
          </w:tcPr>
          <w:p w:rsidR="0031593F" w:rsidRDefault="002F3C17" w:rsidP="0031593F">
            <w:pPr>
              <w:spacing w:after="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Work Phone:</w:t>
            </w:r>
          </w:p>
          <w:p w:rsidR="002F3C17" w:rsidRPr="00D37C90" w:rsidRDefault="002F3C17" w:rsidP="0031593F">
            <w:pPr>
              <w:spacing w:after="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Website      &amp;  Mobile</w:t>
            </w:r>
          </w:p>
        </w:tc>
        <w:tc>
          <w:tcPr>
            <w:tcW w:w="7513" w:type="dxa"/>
          </w:tcPr>
          <w:p w:rsidR="0031593F" w:rsidRDefault="002F3C17" w:rsidP="0031593F">
            <w:pPr>
              <w:spacing w:after="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044-22460877</w:t>
            </w:r>
          </w:p>
          <w:p w:rsidR="002F3C17" w:rsidRPr="00D37C90" w:rsidRDefault="00512029" w:rsidP="0031593F">
            <w:pPr>
              <w:spacing w:after="0" w:afterAutospacing="0"/>
              <w:cnfStyle w:val="000000100000"/>
              <w:rPr>
                <w:b/>
                <w:bCs/>
                <w:sz w:val="26"/>
                <w:szCs w:val="26"/>
              </w:rPr>
            </w:pPr>
            <w:hyperlink r:id="rId6">
              <w:r w:rsidR="002F3C17" w:rsidRPr="00D37C90">
                <w:rPr>
                  <w:b/>
                  <w:bCs/>
                  <w:sz w:val="26"/>
                  <w:szCs w:val="26"/>
                </w:rPr>
                <w:t>www.amcas.in</w:t>
              </w:r>
            </w:hyperlink>
            <w:r w:rsidR="002F3C17" w:rsidRPr="00D37C90">
              <w:rPr>
                <w:b/>
                <w:bCs/>
                <w:sz w:val="26"/>
                <w:szCs w:val="26"/>
              </w:rPr>
              <w:t>;    9677043483</w:t>
            </w:r>
          </w:p>
        </w:tc>
      </w:tr>
    </w:tbl>
    <w:p w:rsidR="00E85F24" w:rsidRPr="00D37C90" w:rsidRDefault="00E85F24" w:rsidP="00D37C90">
      <w:pPr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</w:p>
    <w:sectPr w:rsidR="00E85F24" w:rsidRPr="00D37C90" w:rsidSect="005E7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5pt;height:9.5pt" o:bullet="t">
        <v:imagedata r:id="rId1" o:title="BD10268_"/>
      </v:shape>
    </w:pict>
  </w:numPicBullet>
  <w:abstractNum w:abstractNumId="0">
    <w:nsid w:val="10C20AE9"/>
    <w:multiLevelType w:val="hybridMultilevel"/>
    <w:tmpl w:val="58E81036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0A9"/>
    <w:multiLevelType w:val="multilevel"/>
    <w:tmpl w:val="FCDE843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613BFC"/>
    <w:multiLevelType w:val="hybridMultilevel"/>
    <w:tmpl w:val="C03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572F"/>
    <w:multiLevelType w:val="hybridMultilevel"/>
    <w:tmpl w:val="975628A2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706F"/>
    <w:multiLevelType w:val="multilevel"/>
    <w:tmpl w:val="5BE24940"/>
    <w:lvl w:ilvl="0">
      <w:start w:val="1"/>
      <w:numFmt w:val="bullet"/>
      <w:lvlText w:val="⮚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85082B"/>
    <w:multiLevelType w:val="hybridMultilevel"/>
    <w:tmpl w:val="1DA2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097"/>
    <w:multiLevelType w:val="hybridMultilevel"/>
    <w:tmpl w:val="31BA0B08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C6F7E"/>
    <w:multiLevelType w:val="multilevel"/>
    <w:tmpl w:val="EC9A63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33354D9"/>
    <w:multiLevelType w:val="multilevel"/>
    <w:tmpl w:val="8BA26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3776FD"/>
    <w:multiLevelType w:val="hybridMultilevel"/>
    <w:tmpl w:val="434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1132"/>
    <w:multiLevelType w:val="multilevel"/>
    <w:tmpl w:val="DD6AB62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1B49CC"/>
    <w:multiLevelType w:val="multilevel"/>
    <w:tmpl w:val="C914B6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ABA0FF4"/>
    <w:multiLevelType w:val="hybridMultilevel"/>
    <w:tmpl w:val="B85ACF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5F24"/>
    <w:rsid w:val="00122403"/>
    <w:rsid w:val="001E35EB"/>
    <w:rsid w:val="002066A5"/>
    <w:rsid w:val="00273D11"/>
    <w:rsid w:val="002F3C17"/>
    <w:rsid w:val="0031593F"/>
    <w:rsid w:val="003570B6"/>
    <w:rsid w:val="003A41CA"/>
    <w:rsid w:val="004B76B9"/>
    <w:rsid w:val="00512029"/>
    <w:rsid w:val="005C6D71"/>
    <w:rsid w:val="005E7075"/>
    <w:rsid w:val="006B40B8"/>
    <w:rsid w:val="006C47AA"/>
    <w:rsid w:val="007A196E"/>
    <w:rsid w:val="00850DE5"/>
    <w:rsid w:val="00956895"/>
    <w:rsid w:val="00A479D0"/>
    <w:rsid w:val="00BE3F86"/>
    <w:rsid w:val="00C40A7A"/>
    <w:rsid w:val="00CC7F01"/>
    <w:rsid w:val="00D37C90"/>
    <w:rsid w:val="00D9015A"/>
    <w:rsid w:val="00DD2194"/>
    <w:rsid w:val="00E85F24"/>
    <w:rsid w:val="00E94FA6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7"/>
    <w:pPr>
      <w:spacing w:after="100" w:afterAutospacing="1"/>
    </w:pPr>
    <w:rPr>
      <w:lang w:bidi="ta-IN"/>
    </w:rPr>
  </w:style>
  <w:style w:type="paragraph" w:styleId="Heading1">
    <w:name w:val="heading 1"/>
    <w:basedOn w:val="Normal"/>
    <w:next w:val="Normal"/>
    <w:rsid w:val="005E7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E7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E7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E7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70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E7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707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9A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C7"/>
    <w:rPr>
      <w:color w:val="0000FF"/>
      <w:u w:val="single"/>
    </w:rPr>
  </w:style>
  <w:style w:type="table" w:customStyle="1" w:styleId="GridTable5DarkAccent5">
    <w:name w:val="Grid Table 5 Dark Accent 5"/>
    <w:basedOn w:val="TableNormal"/>
    <w:uiPriority w:val="50"/>
    <w:rsid w:val="009A6CC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ubtitle">
    <w:name w:val="Subtitle"/>
    <w:basedOn w:val="Normal"/>
    <w:next w:val="Normal"/>
    <w:rsid w:val="005E7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707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  <w:style w:type="table" w:styleId="MediumGrid3-Accent1">
    <w:name w:val="Medium Grid 3 Accent 1"/>
    <w:basedOn w:val="TableNormal"/>
    <w:uiPriority w:val="69"/>
    <w:rsid w:val="00A479D0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7"/>
    <w:pPr>
      <w:spacing w:after="100" w:afterAutospacing="1"/>
    </w:pPr>
    <w:rPr>
      <w:lang w:bidi="ta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9A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C7"/>
    <w:rPr>
      <w:color w:val="0000FF"/>
      <w:u w:val="single"/>
    </w:rPr>
  </w:style>
  <w:style w:type="table" w:customStyle="1" w:styleId="GridTable5DarkAccent5">
    <w:name w:val="Grid Table 5 Dark Accent 5"/>
    <w:basedOn w:val="TableNormal"/>
    <w:uiPriority w:val="50"/>
    <w:rsid w:val="009A6CC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ca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IgX0oz0Cgky1WQf7y6rx1tOEQ==">AMUW2mV2b83g1Ul61DNe/kCdE2CM+1DCJTSUkB2oWbJ30AN9g1dISubzeKapDcsKJ4EydvqMsImF1wtpHZQFTLg+Sk7mZg3+SXQDTPhlQH6ba0ynytlB74YnMwIfQ08A9rM6LV8RS5Mo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B.COM</cp:lastModifiedBy>
  <cp:revision>5</cp:revision>
  <dcterms:created xsi:type="dcterms:W3CDTF">2022-01-07T06:58:00Z</dcterms:created>
  <dcterms:modified xsi:type="dcterms:W3CDTF">2022-01-07T07:48:00Z</dcterms:modified>
</cp:coreProperties>
</file>